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66261" w14:textId="11366555" w:rsidR="00EF76FF" w:rsidRDefault="00EF76FF" w:rsidP="00EF76FF">
      <w:pPr>
        <w:pStyle w:val="Header"/>
        <w:tabs>
          <w:tab w:val="right" w:pos="9639"/>
          <w:tab w:val="right" w:pos="13323"/>
        </w:tabs>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3GPP TSG-RAN WG4 Meeting # 114</w:t>
      </w:r>
      <w:r>
        <w:rPr>
          <w:rFonts w:asciiTheme="minorHAnsi" w:eastAsiaTheme="minorEastAsia" w:hAnsiTheme="minorHAnsi" w:cstheme="minorHAnsi"/>
          <w:bCs/>
          <w:noProof w:val="0"/>
          <w:sz w:val="24"/>
          <w:szCs w:val="24"/>
          <w:lang w:eastAsia="zh-CN"/>
        </w:rPr>
        <w:tab/>
        <w:t xml:space="preserve">                                        </w:t>
      </w:r>
      <w:r w:rsidR="00753677" w:rsidRPr="00753677">
        <w:rPr>
          <w:rFonts w:asciiTheme="minorHAnsi" w:eastAsiaTheme="minorEastAsia" w:hAnsiTheme="minorHAnsi" w:cstheme="minorHAnsi"/>
          <w:bCs/>
          <w:noProof w:val="0"/>
          <w:sz w:val="24"/>
          <w:szCs w:val="24"/>
          <w:lang w:eastAsia="zh-CN"/>
        </w:rPr>
        <w:t>R4-2500884</w:t>
      </w:r>
    </w:p>
    <w:p w14:paraId="0349040D" w14:textId="77777777" w:rsidR="00EF76FF" w:rsidRDefault="00EF76FF" w:rsidP="00EF76FF">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 Feb. 17 – Feb. 21, 2025 </w:t>
      </w:r>
    </w:p>
    <w:p w14:paraId="597BC239" w14:textId="7E3E00DF" w:rsidR="00430613" w:rsidRPr="00567AB5"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567AB5">
        <w:rPr>
          <w:rFonts w:asciiTheme="minorHAnsi" w:eastAsiaTheme="minorEastAsia" w:hAnsiTheme="minorHAnsi" w:cstheme="minorHAnsi"/>
          <w:bCs/>
          <w:noProof w:val="0"/>
          <w:sz w:val="24"/>
          <w:szCs w:val="24"/>
          <w:lang w:eastAsia="zh-CN"/>
        </w:rPr>
        <w:t>Agenda Item</w:t>
      </w:r>
      <w:r w:rsidRPr="002F4BD4">
        <w:rPr>
          <w:rFonts w:asciiTheme="minorHAnsi" w:eastAsiaTheme="minorEastAsia" w:hAnsiTheme="minorHAnsi" w:cstheme="minorHAnsi"/>
          <w:bCs/>
          <w:noProof w:val="0"/>
          <w:sz w:val="24"/>
          <w:szCs w:val="24"/>
          <w:lang w:eastAsia="zh-CN"/>
        </w:rPr>
        <w:t>:</w:t>
      </w:r>
      <w:r w:rsidR="00D1629D" w:rsidRPr="002F4BD4">
        <w:rPr>
          <w:rFonts w:asciiTheme="minorHAnsi" w:eastAsiaTheme="minorEastAsia" w:hAnsiTheme="minorHAnsi" w:cstheme="minorHAnsi"/>
          <w:bCs/>
          <w:noProof w:val="0"/>
          <w:sz w:val="24"/>
          <w:szCs w:val="24"/>
          <w:lang w:eastAsia="zh-CN"/>
        </w:rPr>
        <w:t xml:space="preserve"> </w:t>
      </w:r>
      <w:r w:rsidR="002D68FA" w:rsidRPr="002F4BD4">
        <w:rPr>
          <w:rFonts w:ascii="Calibri" w:hAnsi="Calibri"/>
          <w:sz w:val="24"/>
          <w:szCs w:val="24"/>
        </w:rPr>
        <w:t>7</w:t>
      </w:r>
      <w:r w:rsidR="00C53E53" w:rsidRPr="002F4BD4">
        <w:rPr>
          <w:rFonts w:ascii="Calibri" w:hAnsi="Calibri"/>
          <w:sz w:val="24"/>
          <w:szCs w:val="24"/>
        </w:rPr>
        <w:t>.2</w:t>
      </w:r>
      <w:r w:rsidR="008E074F" w:rsidRPr="002F4BD4">
        <w:rPr>
          <w:rFonts w:ascii="Calibri" w:hAnsi="Calibri"/>
          <w:sz w:val="24"/>
          <w:szCs w:val="24"/>
        </w:rPr>
        <w:t>7</w:t>
      </w:r>
      <w:r w:rsidR="00C53E53" w:rsidRPr="002F4BD4">
        <w:rPr>
          <w:rFonts w:ascii="Calibri" w:hAnsi="Calibri"/>
          <w:sz w:val="24"/>
          <w:szCs w:val="24"/>
        </w:rPr>
        <w:t>.</w:t>
      </w:r>
      <w:r w:rsidR="002F4BD4" w:rsidRPr="002F4BD4">
        <w:rPr>
          <w:rFonts w:ascii="Calibri" w:hAnsi="Calibri"/>
          <w:sz w:val="24"/>
          <w:szCs w:val="24"/>
        </w:rPr>
        <w:t>1</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9FD70F1"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 xml:space="preserve">Discussion on </w:t>
      </w:r>
      <w:r w:rsidR="002F4BD4">
        <w:rPr>
          <w:rFonts w:asciiTheme="minorHAnsi" w:eastAsiaTheme="minorEastAsia" w:hAnsiTheme="minorHAnsi" w:cstheme="minorHAnsi"/>
          <w:bCs/>
          <w:noProof w:val="0"/>
          <w:sz w:val="24"/>
          <w:szCs w:val="24"/>
          <w:lang w:eastAsia="zh-CN"/>
        </w:rPr>
        <w:t>General aspects</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ListParagraph"/>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ListParagraph"/>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ListParagraph"/>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26153EF6" w14:textId="49FF2CFA" w:rsidR="009C6290" w:rsidRPr="00567AB5" w:rsidRDefault="00C51F3B" w:rsidP="00567AB5">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0" w:name="_Hlk142679663"/>
    </w:p>
    <w:p w14:paraId="74EA70C1" w14:textId="1EB842C0" w:rsidR="002F4BD4" w:rsidRPr="002F4BD4" w:rsidRDefault="002F4BD4" w:rsidP="00CB462F">
      <w:pPr>
        <w:spacing w:beforeLines="50" w:before="120" w:afterLines="50" w:after="120"/>
        <w:rPr>
          <w:sz w:val="20"/>
          <w:szCs w:val="20"/>
          <w:lang w:val="en-GB"/>
        </w:rPr>
      </w:pPr>
      <w:r>
        <w:rPr>
          <w:sz w:val="20"/>
          <w:szCs w:val="20"/>
          <w:lang w:val="en-GB"/>
        </w:rPr>
        <w:t>In RAN2#128, they confirmed to support MCG change with SCG change as below:</w:t>
      </w:r>
    </w:p>
    <w:tbl>
      <w:tblPr>
        <w:tblStyle w:val="TableGrid"/>
        <w:tblW w:w="0" w:type="auto"/>
        <w:tblLook w:val="04A0" w:firstRow="1" w:lastRow="0" w:firstColumn="1" w:lastColumn="0" w:noHBand="0" w:noVBand="1"/>
      </w:tblPr>
      <w:tblGrid>
        <w:gridCol w:w="9629"/>
      </w:tblGrid>
      <w:tr w:rsidR="002F4BD4" w14:paraId="3823764C" w14:textId="77777777" w:rsidTr="002F4BD4">
        <w:tc>
          <w:tcPr>
            <w:tcW w:w="9629" w:type="dxa"/>
          </w:tcPr>
          <w:p w14:paraId="3E1092FC" w14:textId="77777777" w:rsidR="002F4BD4" w:rsidRPr="002F4BD4" w:rsidRDefault="002F4BD4" w:rsidP="002F4BD4">
            <w:pPr>
              <w:spacing w:beforeLines="50" w:before="120" w:afterLines="50" w:after="120"/>
              <w:rPr>
                <w:sz w:val="20"/>
                <w:szCs w:val="20"/>
              </w:rPr>
            </w:pPr>
            <w:r w:rsidRPr="002F4BD4">
              <w:rPr>
                <w:sz w:val="20"/>
                <w:szCs w:val="20"/>
              </w:rPr>
              <w:t>4.</w:t>
            </w:r>
            <w:r w:rsidRPr="002F4BD4">
              <w:rPr>
                <w:sz w:val="20"/>
                <w:szCs w:val="20"/>
              </w:rPr>
              <w:tab/>
              <w:t xml:space="preserve">RAN2 confirms that inter-CU MCG LTM with SCG addition is supported assuming </w:t>
            </w:r>
            <w:proofErr w:type="gramStart"/>
            <w:r w:rsidRPr="002F4BD4">
              <w:rPr>
                <w:sz w:val="20"/>
                <w:szCs w:val="20"/>
              </w:rPr>
              <w:t>no</w:t>
            </w:r>
            <w:proofErr w:type="gramEnd"/>
            <w:r w:rsidRPr="002F4BD4">
              <w:rPr>
                <w:sz w:val="20"/>
                <w:szCs w:val="20"/>
              </w:rPr>
              <w:t xml:space="preserve"> much specification effort is required. If there are much specification efforts, we will not have it.</w:t>
            </w:r>
          </w:p>
          <w:p w14:paraId="1CE3ABCF" w14:textId="77777777" w:rsidR="002F4BD4" w:rsidRPr="002F4BD4" w:rsidRDefault="002F4BD4" w:rsidP="002F4BD4">
            <w:pPr>
              <w:spacing w:beforeLines="50" w:before="120" w:afterLines="50" w:after="120"/>
              <w:rPr>
                <w:sz w:val="20"/>
                <w:szCs w:val="20"/>
              </w:rPr>
            </w:pPr>
            <w:r w:rsidRPr="002F4BD4">
              <w:rPr>
                <w:sz w:val="20"/>
                <w:szCs w:val="20"/>
              </w:rPr>
              <w:t>5.</w:t>
            </w:r>
            <w:r w:rsidRPr="002F4BD4">
              <w:rPr>
                <w:sz w:val="20"/>
                <w:szCs w:val="20"/>
              </w:rPr>
              <w:tab/>
              <w:t xml:space="preserve">RAN2 confirms that the inter-CU MCG LTM with intra-SN </w:t>
            </w:r>
            <w:proofErr w:type="spellStart"/>
            <w:r w:rsidRPr="002F4BD4">
              <w:rPr>
                <w:sz w:val="20"/>
                <w:szCs w:val="20"/>
              </w:rPr>
              <w:t>PSCell</w:t>
            </w:r>
            <w:proofErr w:type="spellEnd"/>
            <w:r w:rsidRPr="002F4BD4">
              <w:rPr>
                <w:sz w:val="20"/>
                <w:szCs w:val="20"/>
              </w:rPr>
              <w:t xml:space="preserve"> change is supported in Rel19.</w:t>
            </w:r>
          </w:p>
          <w:p w14:paraId="6542EB01" w14:textId="77777777" w:rsidR="002F4BD4" w:rsidRPr="002F4BD4" w:rsidRDefault="002F4BD4" w:rsidP="002F4BD4">
            <w:pPr>
              <w:spacing w:beforeLines="50" w:before="120" w:afterLines="50" w:after="120"/>
              <w:rPr>
                <w:sz w:val="20"/>
                <w:szCs w:val="20"/>
              </w:rPr>
            </w:pPr>
            <w:r w:rsidRPr="002F4BD4">
              <w:rPr>
                <w:sz w:val="20"/>
                <w:szCs w:val="20"/>
              </w:rPr>
              <w:t>6.</w:t>
            </w:r>
            <w:r w:rsidRPr="002F4BD4">
              <w:rPr>
                <w:sz w:val="20"/>
                <w:szCs w:val="20"/>
              </w:rPr>
              <w:tab/>
              <w:t>From RAN2 perspective, the following coexistence cases in NR-DC can be supported:</w:t>
            </w:r>
          </w:p>
          <w:p w14:paraId="533E7827" w14:textId="77777777" w:rsidR="002F4BD4" w:rsidRPr="002F4BD4" w:rsidRDefault="002F4BD4" w:rsidP="002F4BD4">
            <w:pPr>
              <w:spacing w:beforeLines="50" w:before="120" w:afterLines="50" w:after="120"/>
              <w:rPr>
                <w:sz w:val="20"/>
                <w:szCs w:val="20"/>
              </w:rPr>
            </w:pPr>
            <w:r w:rsidRPr="002F4BD4">
              <w:rPr>
                <w:sz w:val="20"/>
                <w:szCs w:val="20"/>
              </w:rPr>
              <w:tab/>
              <w:t>- Case 1: Intra-CU MCG LTM + Inter-CU MCG LTM</w:t>
            </w:r>
          </w:p>
          <w:p w14:paraId="1E945480" w14:textId="77777777" w:rsidR="002F4BD4" w:rsidRPr="002F4BD4" w:rsidRDefault="002F4BD4" w:rsidP="002F4BD4">
            <w:pPr>
              <w:spacing w:beforeLines="50" w:before="120" w:afterLines="50" w:after="120"/>
              <w:rPr>
                <w:sz w:val="20"/>
                <w:szCs w:val="20"/>
              </w:rPr>
            </w:pPr>
            <w:r w:rsidRPr="002F4BD4">
              <w:rPr>
                <w:sz w:val="20"/>
                <w:szCs w:val="20"/>
              </w:rPr>
              <w:tab/>
              <w:t>- Case 2: Intra-CU SCG LTM + Inter-CU SCG LTM</w:t>
            </w:r>
          </w:p>
          <w:p w14:paraId="3B7A6E4B" w14:textId="77777777" w:rsidR="002F4BD4" w:rsidRPr="002F4BD4" w:rsidRDefault="002F4BD4" w:rsidP="002F4BD4">
            <w:pPr>
              <w:spacing w:beforeLines="50" w:before="120" w:afterLines="50" w:after="120"/>
              <w:rPr>
                <w:sz w:val="20"/>
                <w:szCs w:val="20"/>
              </w:rPr>
            </w:pPr>
            <w:r w:rsidRPr="002F4BD4">
              <w:rPr>
                <w:sz w:val="20"/>
                <w:szCs w:val="20"/>
              </w:rPr>
              <w:t>7.</w:t>
            </w:r>
            <w:r w:rsidRPr="002F4BD4">
              <w:rPr>
                <w:sz w:val="20"/>
                <w:szCs w:val="20"/>
              </w:rPr>
              <w:tab/>
              <w:t xml:space="preserve">In coexistence cases of inter-CU MCG/SCG LTM and intra-CU MCG/SCG LTM, when inter-CU MCG or SCG LTM is executed, it’s up to the NW to ensure that maintained LTM candidate configurations are valid, </w:t>
            </w:r>
            <w:proofErr w:type="gramStart"/>
            <w:r w:rsidRPr="002F4BD4">
              <w:rPr>
                <w:sz w:val="20"/>
                <w:szCs w:val="20"/>
              </w:rPr>
              <w:t>e.g.</w:t>
            </w:r>
            <w:proofErr w:type="gramEnd"/>
            <w:r w:rsidRPr="002F4BD4">
              <w:rPr>
                <w:sz w:val="20"/>
                <w:szCs w:val="20"/>
              </w:rPr>
              <w:t xml:space="preserve"> reconfigure or release invalid intra-CU MCG/SCG LTM candidate configurations. UE does not autonomously release invalid intra-CU candidate configurations.</w:t>
            </w:r>
          </w:p>
          <w:p w14:paraId="62E60B23" w14:textId="77777777" w:rsidR="002F4BD4" w:rsidRPr="002F4BD4" w:rsidRDefault="002F4BD4" w:rsidP="002F4BD4">
            <w:pPr>
              <w:spacing w:beforeLines="50" w:before="120" w:afterLines="50" w:after="120"/>
              <w:rPr>
                <w:sz w:val="20"/>
                <w:szCs w:val="20"/>
              </w:rPr>
            </w:pPr>
            <w:r w:rsidRPr="002F4BD4">
              <w:rPr>
                <w:sz w:val="20"/>
                <w:szCs w:val="20"/>
              </w:rPr>
              <w:t>8.</w:t>
            </w:r>
            <w:r w:rsidRPr="002F4BD4">
              <w:rPr>
                <w:sz w:val="20"/>
                <w:szCs w:val="20"/>
              </w:rPr>
              <w:tab/>
              <w:t>RAN2 to support intra-CU SCG LTM in MN RRC message (</w:t>
            </w:r>
            <w:proofErr w:type="gramStart"/>
            <w:r w:rsidRPr="002F4BD4">
              <w:rPr>
                <w:sz w:val="20"/>
                <w:szCs w:val="20"/>
              </w:rPr>
              <w:t>i.e.</w:t>
            </w:r>
            <w:proofErr w:type="gramEnd"/>
            <w:r w:rsidRPr="002F4BD4">
              <w:rPr>
                <w:sz w:val="20"/>
                <w:szCs w:val="20"/>
              </w:rPr>
              <w:t xml:space="preserve"> MN </w:t>
            </w:r>
            <w:proofErr w:type="spellStart"/>
            <w:r w:rsidRPr="002F4BD4">
              <w:rPr>
                <w:sz w:val="20"/>
                <w:szCs w:val="20"/>
              </w:rPr>
              <w:t>RRCReconfiguration</w:t>
            </w:r>
            <w:proofErr w:type="spellEnd"/>
            <w:r w:rsidRPr="002F4BD4">
              <w:rPr>
                <w:sz w:val="20"/>
                <w:szCs w:val="20"/>
              </w:rPr>
              <w:t xml:space="preserve"> message), in addition to SN RRC message.</w:t>
            </w:r>
          </w:p>
          <w:p w14:paraId="1C8BBECD" w14:textId="2E461A07" w:rsidR="002F4BD4" w:rsidRPr="002F4BD4" w:rsidRDefault="002F4BD4" w:rsidP="002F4BD4">
            <w:pPr>
              <w:spacing w:beforeLines="50" w:before="120" w:afterLines="50" w:after="120"/>
              <w:rPr>
                <w:sz w:val="20"/>
                <w:szCs w:val="20"/>
              </w:rPr>
            </w:pPr>
            <w:r w:rsidRPr="002F4BD4">
              <w:rPr>
                <w:sz w:val="20"/>
                <w:szCs w:val="20"/>
              </w:rPr>
              <w:t>9.</w:t>
            </w:r>
            <w:r w:rsidRPr="002F4BD4">
              <w:rPr>
                <w:sz w:val="20"/>
                <w:szCs w:val="20"/>
              </w:rPr>
              <w:tab/>
              <w:t>RAN2 to support intra-CU MCG LTM with SCG configuration.</w:t>
            </w:r>
          </w:p>
        </w:tc>
      </w:tr>
    </w:tbl>
    <w:p w14:paraId="7F5980A9" w14:textId="25224829" w:rsidR="002F4BD4" w:rsidRDefault="002F4BD4" w:rsidP="00CB462F">
      <w:pPr>
        <w:spacing w:beforeLines="50" w:before="120" w:afterLines="50" w:after="120"/>
        <w:rPr>
          <w:sz w:val="20"/>
          <w:szCs w:val="20"/>
          <w:lang w:val="en-GB"/>
        </w:rPr>
      </w:pPr>
      <w:r>
        <w:rPr>
          <w:sz w:val="20"/>
          <w:szCs w:val="20"/>
          <w:lang w:val="en-GB"/>
        </w:rPr>
        <w:t>But according to WID [1], MCG change with SCG change is not in the scope.</w:t>
      </w:r>
    </w:p>
    <w:tbl>
      <w:tblPr>
        <w:tblStyle w:val="TableGrid"/>
        <w:tblW w:w="0" w:type="auto"/>
        <w:tblLook w:val="04A0" w:firstRow="1" w:lastRow="0" w:firstColumn="1" w:lastColumn="0" w:noHBand="0" w:noVBand="1"/>
      </w:tblPr>
      <w:tblGrid>
        <w:gridCol w:w="9629"/>
      </w:tblGrid>
      <w:tr w:rsidR="002F4BD4" w14:paraId="412CF3A4" w14:textId="77777777" w:rsidTr="002F4BD4">
        <w:tc>
          <w:tcPr>
            <w:tcW w:w="9629" w:type="dxa"/>
          </w:tcPr>
          <w:p w14:paraId="6AB1C705" w14:textId="740EB72D" w:rsidR="002F4BD4" w:rsidRDefault="002F4BD4" w:rsidP="00CB462F">
            <w:pPr>
              <w:spacing w:beforeLines="50" w:before="120" w:afterLines="50" w:after="120"/>
              <w:rPr>
                <w:sz w:val="20"/>
                <w:szCs w:val="20"/>
                <w:lang w:val="en-GB"/>
              </w:rPr>
            </w:pPr>
            <w:r w:rsidRPr="002F4BD4">
              <w:rPr>
                <w:noProof/>
                <w:sz w:val="20"/>
                <w:szCs w:val="20"/>
                <w:lang w:val="en-GB"/>
              </w:rPr>
              <w:drawing>
                <wp:inline distT="0" distB="0" distL="0" distR="0" wp14:anchorId="73961C8D" wp14:editId="60D239F1">
                  <wp:extent cx="6120765" cy="1628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28140"/>
                          </a:xfrm>
                          <a:prstGeom prst="rect">
                            <a:avLst/>
                          </a:prstGeom>
                        </pic:spPr>
                      </pic:pic>
                    </a:graphicData>
                  </a:graphic>
                </wp:inline>
              </w:drawing>
            </w:r>
          </w:p>
        </w:tc>
      </w:tr>
    </w:tbl>
    <w:p w14:paraId="6719158A" w14:textId="77777777" w:rsidR="002F4BD4" w:rsidRDefault="002F4BD4" w:rsidP="00CB462F">
      <w:pPr>
        <w:spacing w:beforeLines="50" w:before="120" w:afterLines="50" w:after="120"/>
        <w:rPr>
          <w:sz w:val="20"/>
          <w:szCs w:val="20"/>
          <w:lang w:val="en-GB"/>
        </w:rPr>
      </w:pPr>
    </w:p>
    <w:p w14:paraId="16562F04" w14:textId="6131CB67" w:rsidR="00CB462F" w:rsidRPr="002F4BD4" w:rsidRDefault="002F4BD4" w:rsidP="002F4BD4">
      <w:pPr>
        <w:spacing w:beforeLines="50" w:before="120" w:afterLines="50" w:after="120"/>
        <w:rPr>
          <w:sz w:val="20"/>
          <w:szCs w:val="20"/>
        </w:rPr>
      </w:pPr>
      <w:r>
        <w:rPr>
          <w:sz w:val="20"/>
          <w:szCs w:val="20"/>
        </w:rPr>
        <w:t xml:space="preserve">We propose not to consider </w:t>
      </w:r>
      <w:r>
        <w:rPr>
          <w:sz w:val="20"/>
          <w:szCs w:val="20"/>
          <w:lang w:val="en-GB"/>
        </w:rPr>
        <w:t>MCG change with SCG change in RAN4 R19.</w:t>
      </w:r>
    </w:p>
    <w:p w14:paraId="5382781B" w14:textId="5623A197" w:rsidR="005D0274" w:rsidRDefault="005D0274" w:rsidP="00CB462F">
      <w:pPr>
        <w:spacing w:beforeLines="50" w:before="120" w:afterLines="50" w:after="120"/>
        <w:rPr>
          <w:rFonts w:cstheme="minorHAnsi"/>
          <w:b/>
          <w:sz w:val="20"/>
          <w:szCs w:val="20"/>
        </w:rPr>
      </w:pPr>
      <w:bookmarkStart w:id="1" w:name="_Hlk173932568"/>
      <w:r w:rsidRPr="00F94705">
        <w:rPr>
          <w:rFonts w:cstheme="minorHAnsi"/>
          <w:b/>
          <w:sz w:val="20"/>
          <w:szCs w:val="20"/>
        </w:rPr>
        <w:t xml:space="preserve">Proposal </w:t>
      </w:r>
      <w:r w:rsidR="002F4BD4">
        <w:rPr>
          <w:rFonts w:cstheme="minorHAnsi"/>
          <w:b/>
          <w:sz w:val="20"/>
          <w:szCs w:val="20"/>
        </w:rPr>
        <w:t>1</w:t>
      </w:r>
      <w:r w:rsidRPr="00F94705">
        <w:rPr>
          <w:rFonts w:cstheme="minorHAnsi" w:hint="eastAsia"/>
          <w:b/>
          <w:sz w:val="20"/>
          <w:szCs w:val="20"/>
        </w:rPr>
        <w:t>:</w:t>
      </w:r>
      <w:r w:rsidRPr="00F94705">
        <w:rPr>
          <w:rFonts w:cstheme="minorHAnsi"/>
          <w:b/>
          <w:sz w:val="20"/>
          <w:szCs w:val="20"/>
        </w:rPr>
        <w:t xml:space="preserve"> </w:t>
      </w:r>
      <w:r w:rsidR="002F4BD4">
        <w:rPr>
          <w:rFonts w:cstheme="minorHAnsi"/>
          <w:b/>
          <w:sz w:val="20"/>
          <w:szCs w:val="20"/>
        </w:rPr>
        <w:t>N</w:t>
      </w:r>
      <w:r w:rsidR="002F4BD4" w:rsidRPr="002F4BD4">
        <w:rPr>
          <w:rFonts w:cstheme="minorHAnsi"/>
          <w:b/>
          <w:sz w:val="20"/>
          <w:szCs w:val="20"/>
        </w:rPr>
        <w:t xml:space="preserve">ot to consider MCG change with SCG change in RAN4 </w:t>
      </w:r>
      <w:r w:rsidR="00BB483E">
        <w:rPr>
          <w:rFonts w:cstheme="minorHAnsi"/>
          <w:b/>
          <w:sz w:val="20"/>
          <w:szCs w:val="20"/>
        </w:rPr>
        <w:t xml:space="preserve">in </w:t>
      </w:r>
      <w:r w:rsidR="002F4BD4" w:rsidRPr="002F4BD4">
        <w:rPr>
          <w:rFonts w:cstheme="minorHAnsi"/>
          <w:b/>
          <w:sz w:val="20"/>
          <w:szCs w:val="20"/>
        </w:rPr>
        <w:t>R19.</w:t>
      </w:r>
    </w:p>
    <w:bookmarkEnd w:id="0"/>
    <w:bookmarkEnd w:id="1"/>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FDB5F34" w14:textId="01A6C2D8" w:rsidR="00867028" w:rsidRPr="009324DF"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the R1</w:t>
      </w:r>
      <w:r w:rsidR="00CC41FC" w:rsidRPr="009324DF">
        <w:rPr>
          <w:sz w:val="20"/>
          <w:szCs w:val="20"/>
        </w:rPr>
        <w:t xml:space="preserve">9 </w:t>
      </w:r>
      <w:r w:rsidR="003E65AD" w:rsidRPr="009324DF">
        <w:rPr>
          <w:sz w:val="20"/>
          <w:szCs w:val="20"/>
        </w:rPr>
        <w:t>mobility</w:t>
      </w:r>
      <w:r w:rsidR="00CE0CB5" w:rsidRPr="009324DF">
        <w:rPr>
          <w:sz w:val="20"/>
          <w:szCs w:val="20"/>
        </w:rPr>
        <w:t>.</w:t>
      </w:r>
      <w:r w:rsidR="00E710BA" w:rsidRPr="009324DF">
        <w:rPr>
          <w:sz w:val="20"/>
          <w:szCs w:val="20"/>
        </w:rPr>
        <w:t xml:space="preserve"> </w:t>
      </w:r>
      <w:r w:rsidR="009758A1" w:rsidRPr="009324DF">
        <w:rPr>
          <w:sz w:val="20"/>
          <w:szCs w:val="20"/>
        </w:rPr>
        <w:t>We have the following proposal</w:t>
      </w:r>
      <w:r w:rsidR="00E710BA" w:rsidRPr="009324DF">
        <w:rPr>
          <w:sz w:val="20"/>
          <w:szCs w:val="20"/>
        </w:rPr>
        <w:t>:</w:t>
      </w:r>
    </w:p>
    <w:p w14:paraId="12A2F054" w14:textId="5E174B2A" w:rsidR="00012E1F" w:rsidRPr="002F4BD4" w:rsidRDefault="002F4BD4" w:rsidP="00012E1F">
      <w:pPr>
        <w:spacing w:beforeLines="50" w:before="120" w:afterLines="50" w:after="120"/>
        <w:rPr>
          <w:rFonts w:cstheme="minorHAnsi"/>
          <w:b/>
          <w:sz w:val="20"/>
          <w:szCs w:val="20"/>
        </w:rPr>
      </w:pPr>
      <w:bookmarkStart w:id="2" w:name="_Hlk142597625"/>
      <w:r>
        <w:rPr>
          <w:rFonts w:cstheme="minorHAnsi"/>
          <w:b/>
          <w:sz w:val="20"/>
          <w:szCs w:val="20"/>
        </w:rPr>
        <w:t xml:space="preserve">Proposal 1: Not to consider MCG change with SCG change in RAN4 </w:t>
      </w:r>
      <w:r w:rsidR="00BB483E">
        <w:rPr>
          <w:rFonts w:cstheme="minorHAnsi"/>
          <w:b/>
          <w:sz w:val="20"/>
          <w:szCs w:val="20"/>
        </w:rPr>
        <w:t xml:space="preserve">in </w:t>
      </w:r>
      <w:r>
        <w:rPr>
          <w:rFonts w:cstheme="minorHAnsi"/>
          <w:b/>
          <w:sz w:val="20"/>
          <w:szCs w:val="20"/>
        </w:rPr>
        <w:t>R19.</w:t>
      </w:r>
    </w:p>
    <w:bookmarkEnd w:id="2"/>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0EDFEDB7" w:rsidR="002D68FA" w:rsidRPr="002F4BD4" w:rsidRDefault="00012E1F" w:rsidP="002F4BD4">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sectPr w:rsidR="002D68FA" w:rsidRPr="002F4BD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31FDF" w14:textId="77777777" w:rsidR="007C55E3" w:rsidRDefault="007C55E3">
      <w:r>
        <w:separator/>
      </w:r>
    </w:p>
  </w:endnote>
  <w:endnote w:type="continuationSeparator" w:id="0">
    <w:p w14:paraId="0D4FA19F" w14:textId="77777777" w:rsidR="007C55E3" w:rsidRDefault="007C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72935" w14:textId="77777777" w:rsidR="007C55E3" w:rsidRDefault="007C55E3">
      <w:r>
        <w:separator/>
      </w:r>
    </w:p>
  </w:footnote>
  <w:footnote w:type="continuationSeparator" w:id="0">
    <w:p w14:paraId="2881B696" w14:textId="77777777" w:rsidR="007C55E3" w:rsidRDefault="007C5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9"/>
  </w:num>
  <w:num w:numId="2" w16cid:durableId="2066179577">
    <w:abstractNumId w:val="3"/>
  </w:num>
  <w:num w:numId="3" w16cid:durableId="1696270071">
    <w:abstractNumId w:val="1"/>
  </w:num>
  <w:num w:numId="4" w16cid:durableId="1988512168">
    <w:abstractNumId w:val="0"/>
  </w:num>
  <w:num w:numId="5" w16cid:durableId="1507675303">
    <w:abstractNumId w:val="7"/>
    <w:lvlOverride w:ilvl="0">
      <w:startOverride w:val="1"/>
    </w:lvlOverride>
  </w:num>
  <w:num w:numId="6" w16cid:durableId="1064258278">
    <w:abstractNumId w:val="10"/>
  </w:num>
  <w:num w:numId="7" w16cid:durableId="648172848">
    <w:abstractNumId w:val="8"/>
  </w:num>
  <w:num w:numId="8" w16cid:durableId="615406037">
    <w:abstractNumId w:val="11"/>
  </w:num>
  <w:num w:numId="9" w16cid:durableId="590047767">
    <w:abstractNumId w:val="11"/>
  </w:num>
  <w:num w:numId="10" w16cid:durableId="1433553068">
    <w:abstractNumId w:val="11"/>
  </w:num>
  <w:num w:numId="11" w16cid:durableId="1853181043">
    <w:abstractNumId w:val="11"/>
  </w:num>
  <w:num w:numId="12" w16cid:durableId="50153230">
    <w:abstractNumId w:val="2"/>
  </w:num>
  <w:num w:numId="13" w16cid:durableId="1435589182">
    <w:abstractNumId w:val="4"/>
  </w:num>
  <w:num w:numId="14" w16cid:durableId="549609956">
    <w:abstractNumId w:val="6"/>
  </w:num>
  <w:num w:numId="15" w16cid:durableId="59519344">
    <w:abstractNumId w:val="5"/>
  </w:num>
  <w:num w:numId="16" w16cid:durableId="116478465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594"/>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174"/>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1E00"/>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45"/>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BD4"/>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692"/>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C5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BC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7A"/>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294"/>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677"/>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5E3"/>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AC5"/>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83E"/>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C0AA3"/>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485"/>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4D9"/>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5E1A"/>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677"/>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536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67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52976084">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71092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648996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2</cp:revision>
  <dcterms:created xsi:type="dcterms:W3CDTF">2025-02-07T11:57:00Z</dcterms:created>
  <dcterms:modified xsi:type="dcterms:W3CDTF">2025-02-07T11:57:00Z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